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38" w:rsidRPr="00E20838" w:rsidRDefault="00E20838" w:rsidP="00E20838">
      <w:pPr>
        <w:shd w:val="clear" w:color="auto" w:fill="FFFFFF"/>
        <w:spacing w:after="360" w:line="300" w:lineRule="atLeast"/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</w:pP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>Inauguré avant les Fêtes, le Musée olympique, qui s’étend désormais sur 3000</w:t>
      </w:r>
      <w:r w:rsidRPr="00E20838">
        <w:rPr>
          <w:rFonts w:ascii="Times New Roman" w:eastAsia="Times New Roman" w:hAnsi="Times New Roman" w:cs="Times New Roman"/>
          <w:color w:val="555555"/>
          <w:sz w:val="24"/>
          <w:szCs w:val="24"/>
          <w:lang w:eastAsia="fr-CH"/>
        </w:rPr>
        <w:t> 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m2, a 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é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>t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é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 enti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è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>rement relook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é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. Mais des couacs sont encore 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à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 signaler cette semaine. Un lecteur a remarqu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é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 la traduction hasardeuse d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’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>une animation o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ù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 l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’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expression </w:t>
      </w:r>
      <w:r w:rsidRPr="00E20838">
        <w:rPr>
          <w:rFonts w:ascii="Georgia" w:eastAsia="Times New Roman" w:hAnsi="Georgia" w:cs="Georgia"/>
          <w:color w:val="555555"/>
          <w:sz w:val="24"/>
          <w:szCs w:val="24"/>
          <w:lang w:eastAsia="fr-CH"/>
        </w:rPr>
        <w:t>«</w:t>
      </w:r>
      <w:proofErr w:type="spellStart"/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>count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softHyphen/>
        <w:t>down</w:t>
      </w:r>
      <w:proofErr w:type="spellEnd"/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 </w:t>
      </w:r>
      <w:proofErr w:type="spellStart"/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>timer</w:t>
      </w:r>
      <w:proofErr w:type="spellEnd"/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>» est traduite par «compote à rebours». Juste à côté, le terme «score» donne «résultant» et non «résultat».</w:t>
      </w:r>
    </w:p>
    <w:p w:rsidR="00E20838" w:rsidRPr="00E20838" w:rsidRDefault="00E20838" w:rsidP="00E20838">
      <w:pPr>
        <w:shd w:val="clear" w:color="auto" w:fill="FFFFFF"/>
        <w:spacing w:after="360" w:line="300" w:lineRule="atLeast"/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</w:pP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t xml:space="preserve">D’autres animations ne fonctionnent que partiellement ou sont déjà hors service. «Nous sommes en période de rodage. De tels problèmes étaient à prévoir malgré notre travail acharné», admet un collaborateur. Le musée, qui avait anticipé cela, propose l’entrée </w:t>
      </w:r>
      <w:r w:rsidRPr="00E20838">
        <w:rPr>
          <w:rFonts w:ascii="Georgia" w:eastAsia="Times New Roman" w:hAnsi="Georgia" w:cs="Times New Roman"/>
          <w:color w:val="555555"/>
          <w:sz w:val="24"/>
          <w:szCs w:val="24"/>
          <w:lang w:eastAsia="fr-CH"/>
        </w:rPr>
        <w:softHyphen/>
        <w:t>gratuite au public jusqu’au 23 janvier. </w:t>
      </w:r>
    </w:p>
    <w:p w:rsidR="007340BC" w:rsidRDefault="000C715D">
      <w:bookmarkStart w:id="0" w:name="_GoBack"/>
      <w:bookmarkEnd w:id="0"/>
    </w:p>
    <w:sectPr w:rsidR="0073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4519"/>
    <w:multiLevelType w:val="hybridMultilevel"/>
    <w:tmpl w:val="61AC9976"/>
    <w:lvl w:ilvl="0" w:tplc="31E466AC">
      <w:start w:val="1"/>
      <w:numFmt w:val="decimal"/>
      <w:lvlText w:val="1.1.%1"/>
      <w:lvlJc w:val="right"/>
      <w:pPr>
        <w:ind w:left="1440" w:hanging="360"/>
      </w:pPr>
      <w:rPr>
        <w:rFonts w:ascii="HelveticaNeueLT Std" w:hAnsi="HelveticaNeueLT Std" w:hint="default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38"/>
    <w:rsid w:val="000C715D"/>
    <w:rsid w:val="0012173A"/>
    <w:rsid w:val="00E20838"/>
    <w:rsid w:val="00F036D4"/>
    <w:rsid w:val="00F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paragraph" w:styleId="NormalWeb">
    <w:name w:val="Normal (Web)"/>
    <w:basedOn w:val="Normal"/>
    <w:uiPriority w:val="99"/>
    <w:semiHidden/>
    <w:unhideWhenUsed/>
    <w:rsid w:val="00E2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infopanelspread">
    <w:name w:val="info_panel_spread"/>
    <w:basedOn w:val="Policepardfaut"/>
    <w:rsid w:val="00E20838"/>
  </w:style>
  <w:style w:type="character" w:styleId="Lienhypertexte">
    <w:name w:val="Hyperlink"/>
    <w:basedOn w:val="Policepardfaut"/>
    <w:uiPriority w:val="99"/>
    <w:semiHidden/>
    <w:unhideWhenUsed/>
    <w:rsid w:val="00E20838"/>
    <w:rPr>
      <w:color w:val="0000FF"/>
      <w:u w:val="single"/>
    </w:rPr>
  </w:style>
  <w:style w:type="character" w:customStyle="1" w:styleId="header5">
    <w:name w:val="header5"/>
    <w:basedOn w:val="Policepardfaut"/>
    <w:rsid w:val="00E20838"/>
  </w:style>
  <w:style w:type="character" w:customStyle="1" w:styleId="entry">
    <w:name w:val="entry"/>
    <w:basedOn w:val="Policepardfaut"/>
    <w:rsid w:val="00E20838"/>
  </w:style>
  <w:style w:type="character" w:customStyle="1" w:styleId="apple-converted-space">
    <w:name w:val="apple-converted-space"/>
    <w:basedOn w:val="Policepardfaut"/>
    <w:rsid w:val="00E20838"/>
  </w:style>
  <w:style w:type="paragraph" w:styleId="Textedebulles">
    <w:name w:val="Balloon Text"/>
    <w:basedOn w:val="Normal"/>
    <w:link w:val="TextedebullesCar"/>
    <w:uiPriority w:val="99"/>
    <w:semiHidden/>
    <w:unhideWhenUsed/>
    <w:rsid w:val="00E2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paragraph" w:styleId="NormalWeb">
    <w:name w:val="Normal (Web)"/>
    <w:basedOn w:val="Normal"/>
    <w:uiPriority w:val="99"/>
    <w:semiHidden/>
    <w:unhideWhenUsed/>
    <w:rsid w:val="00E2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infopanelspread">
    <w:name w:val="info_panel_spread"/>
    <w:basedOn w:val="Policepardfaut"/>
    <w:rsid w:val="00E20838"/>
  </w:style>
  <w:style w:type="character" w:styleId="Lienhypertexte">
    <w:name w:val="Hyperlink"/>
    <w:basedOn w:val="Policepardfaut"/>
    <w:uiPriority w:val="99"/>
    <w:semiHidden/>
    <w:unhideWhenUsed/>
    <w:rsid w:val="00E20838"/>
    <w:rPr>
      <w:color w:val="0000FF"/>
      <w:u w:val="single"/>
    </w:rPr>
  </w:style>
  <w:style w:type="character" w:customStyle="1" w:styleId="header5">
    <w:name w:val="header5"/>
    <w:basedOn w:val="Policepardfaut"/>
    <w:rsid w:val="00E20838"/>
  </w:style>
  <w:style w:type="character" w:customStyle="1" w:styleId="entry">
    <w:name w:val="entry"/>
    <w:basedOn w:val="Policepardfaut"/>
    <w:rsid w:val="00E20838"/>
  </w:style>
  <w:style w:type="character" w:customStyle="1" w:styleId="apple-converted-space">
    <w:name w:val="apple-converted-space"/>
    <w:basedOn w:val="Policepardfaut"/>
    <w:rsid w:val="00E20838"/>
  </w:style>
  <w:style w:type="paragraph" w:styleId="Textedebulles">
    <w:name w:val="Balloon Text"/>
    <w:basedOn w:val="Normal"/>
    <w:link w:val="TextedebullesCar"/>
    <w:uiPriority w:val="99"/>
    <w:semiHidden/>
    <w:unhideWhenUsed/>
    <w:rsid w:val="00E2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9</Lines>
  <Paragraphs>2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Sandoz</dc:creator>
  <cp:lastModifiedBy>Noémie Sandoz</cp:lastModifiedBy>
  <cp:revision>2</cp:revision>
  <dcterms:created xsi:type="dcterms:W3CDTF">2014-01-09T11:06:00Z</dcterms:created>
  <dcterms:modified xsi:type="dcterms:W3CDTF">2014-01-09T11:09:00Z</dcterms:modified>
</cp:coreProperties>
</file>